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8429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 xml:space="preserve">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Е.В. Горепекина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 Андреева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23</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821657)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Ессентуки</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842980" w:id="5"/>
    <w:p>
      <w:pPr>
        <w:sectPr>
          <w:pgSz w:w="11906" w:h="16383" w:orient="portrait"/>
        </w:sectPr>
      </w:pPr>
    </w:p>
    <w:bookmarkEnd w:id="5"/>
    <w:bookmarkEnd w:id="0"/>
    <w:bookmarkStart w:name="block-584297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5842977" w:id="8"/>
    <w:p>
      <w:pPr>
        <w:sectPr>
          <w:pgSz w:w="11906" w:h="16383" w:orient="portrait"/>
        </w:sectPr>
      </w:pPr>
    </w:p>
    <w:bookmarkEnd w:id="8"/>
    <w:bookmarkEnd w:id="6"/>
    <w:bookmarkStart w:name="block-5842968"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5842968" w:id="13"/>
    <w:p>
      <w:pPr>
        <w:sectPr>
          <w:pgSz w:w="11906" w:h="16383" w:orient="portrait"/>
        </w:sectPr>
      </w:pPr>
    </w:p>
    <w:bookmarkEnd w:id="13"/>
    <w:bookmarkEnd w:id="9"/>
    <w:bookmarkStart w:name="block-5842966"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5842966" w:id="19"/>
    <w:p>
      <w:pPr>
        <w:sectPr>
          <w:pgSz w:w="11906" w:h="16383" w:orient="portrait"/>
        </w:sectPr>
      </w:pPr>
    </w:p>
    <w:bookmarkEnd w:id="19"/>
    <w:bookmarkEnd w:id="14"/>
    <w:bookmarkStart w:name="block-5842969"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5842969" w:id="21"/>
    <w:p>
      <w:pPr>
        <w:sectPr>
          <w:pgSz w:w="16383" w:h="11906" w:orient="landscape"/>
        </w:sectPr>
      </w:pPr>
    </w:p>
    <w:bookmarkEnd w:id="21"/>
    <w:bookmarkEnd w:id="20"/>
    <w:bookmarkStart w:name="block-5842971"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842971" w:id="23"/>
    <w:p>
      <w:pPr>
        <w:sectPr>
          <w:pgSz w:w="16383" w:h="11906" w:orient="landscape"/>
        </w:sectPr>
      </w:pPr>
    </w:p>
    <w:bookmarkEnd w:id="23"/>
    <w:bookmarkEnd w:id="22"/>
    <w:bookmarkStart w:name="block-5842974"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4bc9461-5945-455e-bb0e-0c5e149e6775" w:id="25"/>
      <w:r>
        <w:rPr>
          <w:rFonts w:ascii="Times New Roman" w:hAnsi="Times New Roman"/>
          <w:b w:val="false"/>
          <w:i w:val="false"/>
          <w:color w:val="000000"/>
          <w:sz w:val="28"/>
        </w:rPr>
        <w:t>• Математика. Геометрия, 10 класс/ Мерзляк А.Г., Номировский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25"/>
      <w:r>
        <w:rPr>
          <w:sz w:val="28"/>
        </w:rPr>
        <w:br/>
      </w:r>
      <w:bookmarkStart w:name="84bc9461-5945-455e-bb0e-0c5e149e6775" w:id="26"/>
      <w:r>
        <w:rPr>
          <w:rFonts w:ascii="Times New Roman" w:hAnsi="Times New Roman"/>
          <w:b w:val="false"/>
          <w:i w:val="false"/>
          <w:color w:val="000000"/>
          <w:sz w:val="28"/>
        </w:rPr>
        <w:t xml:space="preserve"> • Математика. Геометрия, 11 класс/ Мерзляк А.Г., Номировский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f9a195-5c0c-4721-8324-36751f7ea6c9" w:id="27"/>
      <w:r>
        <w:rPr>
          <w:rFonts w:ascii="Times New Roman" w:hAnsi="Times New Roman"/>
          <w:b w:val="false"/>
          <w:i w:val="false"/>
          <w:color w:val="000000"/>
          <w:sz w:val="28"/>
        </w:rPr>
        <w:t xml:space="preserve"> </w:t>
      </w:r>
      <w:bookmarkEnd w:id="27"/>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56ead15-d30b-4553-b176-b0c943a4daa1" w:id="28"/>
      <w:r>
        <w:rPr>
          <w:rFonts w:ascii="Times New Roman" w:hAnsi="Times New Roman"/>
          <w:b w:val="false"/>
          <w:i w:val="false"/>
          <w:color w:val="000000"/>
          <w:sz w:val="28"/>
        </w:rPr>
        <w:t>Б.Г. Зив. Дидактические материалы по геометрии, 10 класс.</w:t>
      </w:r>
      <w:bookmarkEnd w:id="28"/>
      <w:r>
        <w:rPr>
          <w:sz w:val="28"/>
        </w:rPr>
        <w:br/>
      </w:r>
      <w:bookmarkStart w:name="956ead15-d30b-4553-b176-b0c943a4daa1" w:id="29"/>
      <w:r>
        <w:rPr>
          <w:rFonts w:ascii="Times New Roman" w:hAnsi="Times New Roman"/>
          <w:b w:val="false"/>
          <w:i w:val="false"/>
          <w:color w:val="000000"/>
          <w:sz w:val="28"/>
        </w:rPr>
        <w:t xml:space="preserve"> Б.Г. Зив. Дидактические материалы по геометрии, 11 класс</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30"/>
      <w:r>
        <w:rPr>
          <w:rFonts w:ascii="Times New Roman" w:hAnsi="Times New Roman"/>
          <w:b w:val="false"/>
          <w:i w:val="false"/>
          <w:color w:val="000000"/>
          <w:sz w:val="28"/>
        </w:rPr>
        <w:t xml:space="preserve"> </w:t>
      </w:r>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842974" w:id="31"/>
    <w:p>
      <w:pPr>
        <w:sectPr>
          <w:pgSz w:w="11906" w:h="16383" w:orient="portrait"/>
        </w:sectPr>
      </w:pPr>
    </w:p>
    <w:bookmarkEnd w:id="31"/>
    <w:bookmarkEnd w:id="2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